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April 10, 2024</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6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259 Beacon Lite Road,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  </w:t>
        <w:tab/>
        <w:t xml:space="preserve">Bonnie Sands, Diana Jones, Mary Bowman, Carolyn Dilger, Tom Tharnish.</w:t>
      </w:r>
    </w:p>
    <w:p w:rsidR="00000000" w:rsidDel="00000000" w:rsidP="00000000" w:rsidRDefault="00000000" w:rsidRPr="00000000" w14:paraId="0000000A">
      <w:pPr>
        <w:spacing w:line="276" w:lineRule="auto"/>
        <w:ind w:left="1440" w:hanging="1440"/>
        <w:rPr/>
      </w:pPr>
      <w:r w:rsidDel="00000000" w:rsidR="00000000" w:rsidRPr="00000000">
        <w:rPr>
          <w:rtl w:val="0"/>
        </w:rPr>
        <w:tab/>
        <w:t xml:space="preserve">Absent: Carmen Whaley</w:t>
      </w:r>
    </w:p>
    <w:p w:rsidR="00000000" w:rsidDel="00000000" w:rsidP="00000000" w:rsidRDefault="00000000" w:rsidRPr="00000000" w14:paraId="0000000B">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C">
      <w:pPr>
        <w:spacing w:line="276" w:lineRule="auto"/>
        <w:jc w:val="center"/>
        <w:rPr/>
      </w:pPr>
      <w:r w:rsidDel="00000000" w:rsidR="00000000" w:rsidRPr="00000000">
        <w:rPr>
          <w:rtl w:val="0"/>
        </w:rPr>
        <w:t xml:space="preserve">Agenda</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Meeting called to order at 6:06 p.m.</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Minutes read from previous meeting</w:t>
      </w:r>
    </w:p>
    <w:p w:rsidR="00000000" w:rsidDel="00000000" w:rsidP="00000000" w:rsidRDefault="00000000" w:rsidRPr="00000000" w14:paraId="00000011">
      <w:pPr>
        <w:spacing w:line="276" w:lineRule="auto"/>
        <w:rPr/>
      </w:pPr>
      <w:r w:rsidDel="00000000" w:rsidR="00000000" w:rsidRPr="00000000">
        <w:rPr>
          <w:rtl w:val="0"/>
        </w:rPr>
        <w:t xml:space="preserve">Motion to approve by Mary Bowman,</w:t>
        <w:tab/>
        <w:t xml:space="preserve"> seconded by</w:t>
        <w:tab/>
        <w:t xml:space="preserve">Bonnie Sands. Approved 4-0.</w:t>
        <w:tab/>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Treasurer’s Report submitted by Mary Bowman. One persistently late or unpaid invoice was noted.  Requested action from the Board on this account.</w:t>
      </w:r>
    </w:p>
    <w:p w:rsidR="00000000" w:rsidDel="00000000" w:rsidP="00000000" w:rsidRDefault="00000000" w:rsidRPr="00000000" w14:paraId="00000014">
      <w:pPr>
        <w:rPr/>
      </w:pPr>
      <w:r w:rsidDel="00000000" w:rsidR="00000000" w:rsidRPr="00000000">
        <w:rPr>
          <w:rtl w:val="0"/>
        </w:rPr>
        <w:t xml:space="preserve">Motion to approve by Diana Jones, seconded by Carolyn Dilger. Approved 4-0.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Operator’s Report: The rad sample average is still slightly high (above 5). We will continue to submit quarterly samples until the average is below 5. With a low submission this quarter, we should be back in compliance.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Old Business: No old business discussed.</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New Business:</w:t>
      </w:r>
    </w:p>
    <w:p w:rsidR="00000000" w:rsidDel="00000000" w:rsidP="00000000" w:rsidRDefault="00000000" w:rsidRPr="00000000" w14:paraId="0000001B">
      <w:pPr>
        <w:spacing w:line="276" w:lineRule="auto"/>
        <w:rPr/>
      </w:pPr>
      <w:r w:rsidDel="00000000" w:rsidR="00000000" w:rsidRPr="00000000">
        <w:rPr>
          <w:rtl w:val="0"/>
        </w:rPr>
        <w:t xml:space="preserve">1.</w:t>
        <w:tab/>
        <w:t xml:space="preserve">Lead and copper rule: The state is creating a database of tap and maintenance records of all water districts to determine what areas may require testing for possible lead and copper contamination. Mary Bowman is submitting required information to the state for the database. When complete, the state will notify districts requiring followup examination.</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2.</w:t>
        <w:tab/>
        <w:t xml:space="preserve">There has been discussion of PFAS (long-lasting chemicals) as emerging contaminant concern in water systems. No action is required at this time.</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3.</w:t>
        <w:tab/>
        <w:t xml:space="preserve">Consequences for nonpayment: The account noted in the treasurer’s report involves a tenant that has an overdue balance over 90 days. Efforts with the tenant to get the account arrears cleared have been unsuccessful. The Board will send a letter to the owner and the tenant stating that responsibility for payments rests with the property owner. All future bills and correspondence will be addressed to the owner only. Payment will be required from the owner.</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4. Effective with the July board meeting, time of quarterly meetings will be 5 p.m.</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Adjournment:  7:30 p.m. </w:t>
      </w:r>
    </w:p>
    <w:p w:rsidR="00000000" w:rsidDel="00000000" w:rsidP="00000000" w:rsidRDefault="00000000" w:rsidRPr="00000000" w14:paraId="00000024">
      <w:pPr>
        <w:spacing w:line="276" w:lineRule="auto"/>
        <w:rPr/>
      </w:pPr>
      <w:r w:rsidDel="00000000" w:rsidR="00000000" w:rsidRPr="00000000">
        <w:rPr>
          <w:rtl w:val="0"/>
        </w:rPr>
        <w:t xml:space="preserve">Next meeting: 5:00 p.m., July 10, 2024, 259 Beacon Lite Rd., Monument, CO 80132</w:t>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